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BB" w:rsidRPr="001D6D7E" w:rsidRDefault="00881C29" w:rsidP="006A081E">
      <w:pPr>
        <w:pStyle w:val="Nadpis2"/>
        <w:spacing w:before="0" w:line="240" w:lineRule="auto"/>
        <w:jc w:val="center"/>
        <w:rPr>
          <w:rFonts w:cs="Times New Roman"/>
          <w:color w:val="auto"/>
          <w:sz w:val="32"/>
          <w:szCs w:val="32"/>
        </w:rPr>
      </w:pPr>
      <w:r w:rsidRPr="001D6D7E">
        <w:rPr>
          <w:rFonts w:cs="Times New Roman"/>
          <w:color w:val="auto"/>
          <w:sz w:val="32"/>
          <w:szCs w:val="32"/>
        </w:rPr>
        <w:t>DOHODA O MLČENLIVOSTI</w:t>
      </w: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D6D7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Smluvní strany:</w:t>
      </w:r>
    </w:p>
    <w:p w:rsidR="001F7796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>Český rybářský svaz, z. s.</w:t>
      </w: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se sídlem v Praze, Nad Olšinami 282/31</w:t>
      </w: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3156C4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: 00443191</w:t>
      </w: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zastoupená: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PhDr. Mgr. Ing. Karlem Machem, </w:t>
      </w:r>
      <w:proofErr w:type="spellStart"/>
      <w:r w:rsidRPr="001D6D7E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3156C4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c</w:t>
      </w:r>
      <w:proofErr w:type="spellEnd"/>
      <w:r w:rsidRPr="001D6D7E">
        <w:rPr>
          <w:rFonts w:ascii="Times New Roman" w:hAnsi="Times New Roman" w:cs="Times New Roman"/>
          <w:sz w:val="24"/>
          <w:szCs w:val="24"/>
          <w:lang w:eastAsia="cs-CZ"/>
        </w:rPr>
        <w:t>., MBA. - předsedou</w:t>
      </w: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Ing. Romanem </w:t>
      </w:r>
      <w:proofErr w:type="spellStart"/>
      <w:r w:rsidRPr="001D6D7E">
        <w:rPr>
          <w:rFonts w:ascii="Times New Roman" w:hAnsi="Times New Roman" w:cs="Times New Roman"/>
          <w:sz w:val="24"/>
          <w:szCs w:val="24"/>
          <w:lang w:eastAsia="cs-CZ"/>
        </w:rPr>
        <w:t>Heimlichem</w:t>
      </w:r>
      <w:proofErr w:type="spellEnd"/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, Ph.D. - jednatelem </w:t>
      </w: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Zapsaná v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>spolkovém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rejstříku vedeném 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>Městským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soudem v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> Praze</w:t>
      </w:r>
      <w:r w:rsidR="00285462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oddíl 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L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vložka 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>692</w:t>
      </w: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(dále jen „ČRS“)</w:t>
      </w: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7796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Společnost</w:t>
      </w:r>
    </w:p>
    <w:p w:rsidR="002E00BB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se sídlem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2E00BB" w:rsidRPr="001D6D7E" w:rsidRDefault="001F779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IČO: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1F7796" w:rsidRPr="001D6D7E" w:rsidRDefault="001F7796" w:rsidP="006A08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zastoupena:</w:t>
      </w:r>
    </w:p>
    <w:p w:rsidR="003674DC" w:rsidRPr="001D6D7E" w:rsidRDefault="003674DC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Zapsaná v obchodním rejstříku vedeném _________</w:t>
      </w:r>
      <w:r w:rsidR="00285462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soudem v __________,</w:t>
      </w:r>
      <w:r w:rsidR="00285462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oddíl _____, vložka _______</w:t>
      </w:r>
      <w:r w:rsidR="00285462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F7796" w:rsidRPr="001D6D7E" w:rsidRDefault="001F7796" w:rsidP="006A08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F7796" w:rsidRPr="001D6D7E" w:rsidRDefault="001F7796" w:rsidP="006A08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(dále jen „účastník“)</w:t>
      </w:r>
    </w:p>
    <w:p w:rsidR="001F7796" w:rsidRPr="001D6D7E" w:rsidRDefault="001F7796" w:rsidP="006A08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E00BB" w:rsidRPr="001D6D7E" w:rsidRDefault="001F7796" w:rsidP="006A08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(dále společně jen </w:t>
      </w:r>
      <w:r w:rsidR="003A1AD3" w:rsidRPr="001D6D7E">
        <w:rPr>
          <w:rFonts w:ascii="Times New Roman" w:hAnsi="Times New Roman" w:cs="Times New Roman"/>
          <w:sz w:val="24"/>
          <w:szCs w:val="24"/>
          <w:lang w:eastAsia="cs-CZ"/>
        </w:rPr>
        <w:t>„Smluvní strany“)</w:t>
      </w:r>
    </w:p>
    <w:p w:rsidR="003A1AD3" w:rsidRPr="001D6D7E" w:rsidRDefault="003A1AD3" w:rsidP="006A081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06CBE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uzavírají 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dle ustanovení § 1746 odst. 2 zákona č. 89/2012 Sb. Sb., občanský zákoník,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níže uvedeného dne, měsíce a roku tuto Dohodu o mlčenlivosti</w:t>
      </w:r>
      <w:r w:rsidR="00206CBE" w:rsidRPr="001D6D7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E00BB" w:rsidRPr="001D6D7E" w:rsidRDefault="00206CBE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(dále jen „d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>ohoda“)</w:t>
      </w: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2E00BB" w:rsidRPr="001D6D7E" w:rsidRDefault="002E00BB" w:rsidP="006A081E">
      <w:pPr>
        <w:pStyle w:val="Nadpis3"/>
        <w:spacing w:before="0" w:line="240" w:lineRule="auto"/>
        <w:rPr>
          <w:rFonts w:cs="Times New Roman"/>
          <w:szCs w:val="24"/>
          <w:bdr w:val="none" w:sz="0" w:space="0" w:color="auto" w:frame="1"/>
          <w:lang w:eastAsia="cs-CZ"/>
        </w:rPr>
      </w:pPr>
      <w:r w:rsidRPr="001D6D7E">
        <w:rPr>
          <w:rFonts w:cs="Times New Roman"/>
          <w:szCs w:val="24"/>
          <w:bdr w:val="none" w:sz="0" w:space="0" w:color="auto" w:frame="1"/>
          <w:lang w:eastAsia="cs-CZ"/>
        </w:rPr>
        <w:t>I.</w:t>
      </w: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E00BB" w:rsidRPr="001D6D7E" w:rsidRDefault="00206CBE" w:rsidP="006A081E">
      <w:pPr>
        <w:pStyle w:val="Bezmezer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Účelem této d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ohody je ochrana důvěrných informací </w:t>
      </w:r>
      <w:r w:rsidR="003A1AD3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smluvních stran, se kterými se </w:t>
      </w:r>
      <w:r w:rsidR="0000484D" w:rsidRPr="001D6D7E">
        <w:rPr>
          <w:rFonts w:ascii="Times New Roman" w:hAnsi="Times New Roman" w:cs="Times New Roman"/>
          <w:sz w:val="24"/>
          <w:szCs w:val="24"/>
          <w:lang w:eastAsia="cs-CZ"/>
        </w:rPr>
        <w:t>účastník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seznámí v rámci 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výběrového řízení </w:t>
      </w:r>
      <w:r w:rsidR="00881C29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881C29" w:rsidRPr="001D6D7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„Zpracování statistiky úlovků ČRS za rok 2020“ 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881C29" w:rsidRPr="001D6D7E">
        <w:rPr>
          <w:rFonts w:ascii="Times New Roman" w:hAnsi="Times New Roman" w:cs="Times New Roman"/>
          <w:sz w:val="24"/>
          <w:szCs w:val="24"/>
          <w:lang w:eastAsia="cs-CZ"/>
        </w:rPr>
        <w:t>v rámci případné s</w:t>
      </w:r>
      <w:r w:rsidR="001F7796" w:rsidRPr="001D6D7E">
        <w:rPr>
          <w:rFonts w:ascii="Times New Roman" w:hAnsi="Times New Roman" w:cs="Times New Roman"/>
          <w:sz w:val="24"/>
          <w:szCs w:val="24"/>
          <w:lang w:eastAsia="cs-CZ"/>
        </w:rPr>
        <w:t>polupráce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81C29" w:rsidRPr="001D6D7E">
        <w:rPr>
          <w:rFonts w:ascii="Times New Roman" w:hAnsi="Times New Roman" w:cs="Times New Roman"/>
          <w:sz w:val="24"/>
          <w:szCs w:val="24"/>
          <w:lang w:eastAsia="cs-CZ"/>
        </w:rPr>
        <w:t>na realizaci předmětu výběrového řízení</w:t>
      </w:r>
      <w:r w:rsidR="00285462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>(dále též jako „</w:t>
      </w:r>
      <w:r w:rsidR="002E00BB" w:rsidRPr="001D6D7E">
        <w:rPr>
          <w:rFonts w:ascii="Times New Roman" w:hAnsi="Times New Roman" w:cs="Times New Roman"/>
          <w:b/>
          <w:sz w:val="24"/>
          <w:szCs w:val="24"/>
          <w:lang w:eastAsia="cs-CZ"/>
        </w:rPr>
        <w:t>vzájemná spolupráce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>“).</w:t>
      </w:r>
    </w:p>
    <w:p w:rsidR="00881C29" w:rsidRPr="001D6D7E" w:rsidRDefault="00881C29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0484D" w:rsidRPr="001D6D7E" w:rsidRDefault="0000484D" w:rsidP="006A081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>Předmětem této dohody jsou důvěrné informace zadavatele, které poskytne účastníkovi pro účely zpracování jeho nabídky v</w:t>
      </w:r>
      <w:r w:rsidR="00206CBE" w:rsidRPr="001D6D7E">
        <w:rPr>
          <w:rFonts w:ascii="Times New Roman" w:eastAsia="Calibri" w:hAnsi="Times New Roman" w:cs="Times New Roman"/>
          <w:sz w:val="24"/>
          <w:szCs w:val="24"/>
        </w:rPr>
        <w:t> </w:t>
      </w:r>
      <w:r w:rsidRPr="001D6D7E">
        <w:rPr>
          <w:rFonts w:ascii="Times New Roman" w:eastAsia="Calibri" w:hAnsi="Times New Roman" w:cs="Times New Roman"/>
          <w:sz w:val="24"/>
          <w:szCs w:val="24"/>
        </w:rPr>
        <w:t>rámci</w:t>
      </w:r>
      <w:r w:rsidR="00206CBE" w:rsidRPr="001D6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CBE" w:rsidRPr="001D6D7E">
        <w:rPr>
          <w:rFonts w:ascii="Times New Roman" w:hAnsi="Times New Roman" w:cs="Times New Roman"/>
          <w:sz w:val="24"/>
          <w:szCs w:val="24"/>
          <w:lang w:eastAsia="cs-CZ"/>
        </w:rPr>
        <w:t>výběrového řízení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484D" w:rsidRPr="001D6D7E" w:rsidRDefault="0000484D" w:rsidP="006A081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484D" w:rsidRPr="001D6D7E" w:rsidRDefault="0000484D" w:rsidP="006A081E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Důvěrnými informacemi zadavatele se pro účely této dohody a po celou dobu trvání případné vzájemné spolupráce smluvních stran rozumí, bez ohledu na formu a způsob jejich sdělení či zachycení a až do doby jejich zveřejnění, vešker</w:t>
      </w:r>
      <w:r w:rsidR="006A081E" w:rsidRPr="001D6D7E">
        <w:rPr>
          <w:rFonts w:ascii="Times New Roman" w:hAnsi="Times New Roman" w:cs="Times New Roman"/>
          <w:sz w:val="24"/>
          <w:szCs w:val="24"/>
          <w:lang w:eastAsia="cs-CZ"/>
        </w:rPr>
        <w:t>é informace specifikované v bodě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A081E" w:rsidRPr="001D6D7E">
        <w:rPr>
          <w:rFonts w:ascii="Times New Roman" w:hAnsi="Times New Roman" w:cs="Times New Roman"/>
          <w:sz w:val="24"/>
          <w:szCs w:val="24"/>
          <w:lang w:eastAsia="cs-CZ"/>
        </w:rPr>
        <w:t>2.4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06CBE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výzvy </w:t>
      </w:r>
      <w:r w:rsidR="003156C4">
        <w:rPr>
          <w:rFonts w:ascii="Times New Roman" w:hAnsi="Times New Roman" w:cs="Times New Roman"/>
          <w:sz w:val="24"/>
          <w:szCs w:val="24"/>
          <w:lang w:eastAsia="cs-CZ"/>
        </w:rPr>
        <w:t xml:space="preserve">k </w:t>
      </w:r>
      <w:r w:rsidR="00206CBE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podání </w:t>
      </w:r>
      <w:proofErr w:type="gramStart"/>
      <w:r w:rsidR="00206CBE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nabídky -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zadávací</w:t>
      </w:r>
      <w:proofErr w:type="gramEnd"/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dokumentace k zakázce a další skutečnosti, které zadavatel účastníkovi v rámci </w:t>
      </w:r>
      <w:r w:rsidR="00206CBE" w:rsidRPr="001D6D7E">
        <w:rPr>
          <w:rFonts w:ascii="Times New Roman" w:hAnsi="Times New Roman" w:cs="Times New Roman"/>
          <w:sz w:val="24"/>
          <w:szCs w:val="24"/>
          <w:lang w:eastAsia="cs-CZ"/>
        </w:rPr>
        <w:t>výběrového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řízení či vzájemné spolupráce zpřístupní (dále jen „důvěrné informace“).   </w:t>
      </w:r>
    </w:p>
    <w:p w:rsidR="0000484D" w:rsidRPr="001D6D7E" w:rsidRDefault="0000484D" w:rsidP="006A081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484D" w:rsidRPr="001D6D7E" w:rsidRDefault="0000484D" w:rsidP="006A081E">
      <w:pPr>
        <w:pStyle w:val="Bezmezer"/>
        <w:numPr>
          <w:ilvl w:val="0"/>
          <w:numId w:val="26"/>
        </w:numPr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Zveřejněním se pro účely této dohody rozumí zpřístupnění důvěrných informací třetí osobě nebo osobám ze strany nebo na příkaz zadavatele, nebo tak, že se předmětné </w:t>
      </w:r>
      <w:r w:rsidRPr="001D6D7E">
        <w:rPr>
          <w:rFonts w:ascii="Times New Roman" w:eastAsia="Calibri" w:hAnsi="Times New Roman" w:cs="Times New Roman"/>
          <w:sz w:val="24"/>
          <w:szCs w:val="24"/>
        </w:rPr>
        <w:lastRenderedPageBreak/>
        <w:t>informace stanou obecně známými, aniž by byla porušena tato dohoda, jiné smluvní ujednání nebo relevantní právní předpis.</w:t>
      </w:r>
    </w:p>
    <w:p w:rsidR="0039423E" w:rsidRPr="001D6D7E" w:rsidRDefault="0039423E" w:rsidP="006A081E">
      <w:pPr>
        <w:pStyle w:val="Nadpis3"/>
        <w:spacing w:before="0" w:line="240" w:lineRule="auto"/>
        <w:jc w:val="left"/>
        <w:rPr>
          <w:rFonts w:cs="Times New Roman"/>
          <w:szCs w:val="24"/>
          <w:bdr w:val="none" w:sz="0" w:space="0" w:color="auto" w:frame="1"/>
          <w:lang w:eastAsia="cs-CZ"/>
        </w:rPr>
      </w:pPr>
    </w:p>
    <w:p w:rsidR="002E00BB" w:rsidRPr="001D6D7E" w:rsidRDefault="002E00BB" w:rsidP="006A081E">
      <w:pPr>
        <w:pStyle w:val="Nadpis3"/>
        <w:spacing w:before="0" w:line="240" w:lineRule="auto"/>
        <w:rPr>
          <w:rFonts w:cs="Times New Roman"/>
          <w:szCs w:val="24"/>
          <w:bdr w:val="none" w:sz="0" w:space="0" w:color="auto" w:frame="1"/>
          <w:lang w:eastAsia="cs-CZ"/>
        </w:rPr>
      </w:pPr>
      <w:r w:rsidRPr="001D6D7E">
        <w:rPr>
          <w:rFonts w:cs="Times New Roman"/>
          <w:szCs w:val="24"/>
          <w:bdr w:val="none" w:sz="0" w:space="0" w:color="auto" w:frame="1"/>
          <w:lang w:eastAsia="cs-CZ"/>
        </w:rPr>
        <w:t>II.</w:t>
      </w: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0484D" w:rsidRPr="001D6D7E" w:rsidRDefault="0000484D" w:rsidP="006A081E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Účastník se tímto zavazuje chránit důvěrné informace proti zneužití, neprozradit je žádné třetí osobě, byť i z nedbalosti, neumožnit k takovým informacím třetím osobám přístup a nepoužít je v rozporu s účelem, ke kterému mu byly zadavatelem poskytnuty a ani je nepoužít pro své potřeby nebo ve prospěch třetích osob.</w:t>
      </w:r>
    </w:p>
    <w:p w:rsidR="000C317B" w:rsidRPr="001D6D7E" w:rsidRDefault="000C317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C317B" w:rsidRPr="001D6D7E" w:rsidRDefault="000C317B" w:rsidP="006A081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>Účastník se zavazuje důvěrné informace neuchovávat ani je nerozmnožovat, s výjimkou rozsahu, který je nezbytný pro naplnění účelu, k němuž mu byly</w:t>
      </w:r>
      <w:r w:rsidRPr="001D6D7E">
        <w:rPr>
          <w:rFonts w:ascii="Times New Roman" w:hAnsi="Times New Roman" w:cs="Times New Roman"/>
          <w:sz w:val="24"/>
          <w:szCs w:val="24"/>
        </w:rPr>
        <w:t xml:space="preserve"> zadavatelem poskytnuty.</w:t>
      </w:r>
    </w:p>
    <w:p w:rsidR="00206CBE" w:rsidRPr="001D6D7E" w:rsidRDefault="00206CBE" w:rsidP="00206CB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17B" w:rsidRPr="001D6D7E" w:rsidRDefault="000C317B" w:rsidP="006A081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Účastník se tímto dále zavazuje zacházet s důvěrnými informacemi jako s důvěrnými informacemi ve smyslu zákona č. </w:t>
      </w:r>
      <w:r w:rsidRPr="001D6D7E">
        <w:rPr>
          <w:rFonts w:ascii="Times New Roman" w:hAnsi="Times New Roman" w:cs="Times New Roman"/>
          <w:sz w:val="24"/>
          <w:szCs w:val="24"/>
        </w:rPr>
        <w:t xml:space="preserve">89/2012 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Sb., </w:t>
      </w:r>
      <w:r w:rsidRPr="001D6D7E">
        <w:rPr>
          <w:rFonts w:ascii="Times New Roman" w:hAnsi="Times New Roman" w:cs="Times New Roman"/>
          <w:sz w:val="24"/>
          <w:szCs w:val="24"/>
        </w:rPr>
        <w:t>občanský zákoník</w:t>
      </w:r>
      <w:r w:rsidRPr="001D6D7E">
        <w:rPr>
          <w:rFonts w:ascii="Times New Roman" w:eastAsia="Calibri" w:hAnsi="Times New Roman" w:cs="Times New Roman"/>
          <w:sz w:val="24"/>
          <w:szCs w:val="24"/>
        </w:rPr>
        <w:t>, ve znění pozdějších předpisů (dále jen „</w:t>
      </w:r>
      <w:r w:rsidRPr="001D6D7E">
        <w:rPr>
          <w:rFonts w:ascii="Times New Roman" w:hAnsi="Times New Roman" w:cs="Times New Roman"/>
          <w:sz w:val="24"/>
          <w:szCs w:val="24"/>
        </w:rPr>
        <w:t>občanský zákoník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“).  </w:t>
      </w:r>
    </w:p>
    <w:p w:rsidR="00206CBE" w:rsidRPr="001D6D7E" w:rsidRDefault="00206CBE" w:rsidP="00206CB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17B" w:rsidRPr="001D6D7E" w:rsidRDefault="000C317B" w:rsidP="006A081E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>Bez ohledu na výše uvedená ustanovení se za porušení povinnosti stanovené touto dohodou nepovažuje:</w:t>
      </w:r>
    </w:p>
    <w:p w:rsidR="000C317B" w:rsidRPr="001D6D7E" w:rsidRDefault="000C317B" w:rsidP="006A081E">
      <w:pPr>
        <w:pStyle w:val="Bezmezer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C317B" w:rsidRPr="001D6D7E" w:rsidRDefault="000C317B" w:rsidP="006A081E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využití důvěrných informací uchazečem za účelem přípravy nabídky pro účely </w:t>
      </w:r>
      <w:r w:rsidR="00206CBE" w:rsidRPr="001D6D7E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 řízení a rovněž při případ</w:t>
      </w:r>
      <w:r w:rsidRPr="001D6D7E">
        <w:rPr>
          <w:rFonts w:ascii="Times New Roman" w:hAnsi="Times New Roman" w:cs="Times New Roman"/>
          <w:sz w:val="24"/>
          <w:szCs w:val="24"/>
        </w:rPr>
        <w:t>né následné realizaci předmětu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 zakázky;</w:t>
      </w:r>
    </w:p>
    <w:p w:rsidR="00206CBE" w:rsidRPr="001D6D7E" w:rsidRDefault="00206CBE" w:rsidP="00206CBE">
      <w:pPr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17B" w:rsidRPr="001D6D7E" w:rsidRDefault="000C317B" w:rsidP="006A081E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poskytnutí důvěrných informací právním, daňovým či ekonomickým poradcům účastníka a to výhradně a jedině v souvislosti s poradenstvím v souvislosti s přípravou nabídky pro účely </w:t>
      </w:r>
      <w:r w:rsidR="00206CBE" w:rsidRPr="001D6D7E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 řízení či vzájemnou spoluprácí smluvních stran, a to za předpokladu, že tyto subjekty budou vázány mlčenlivostí ve stejném nebo větším rozsahu než stanoví tato dohoda. Z porušení povinnosti mlčenlivosti ze strany třetích osob odpovídá účastník jako by takovou povinnost porušil sám; odpovědnost třetí osoby tím není dotčena;</w:t>
      </w:r>
    </w:p>
    <w:p w:rsidR="00206CBE" w:rsidRPr="001D6D7E" w:rsidRDefault="00206CBE" w:rsidP="00206CBE">
      <w:pPr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23E" w:rsidRPr="001D6D7E" w:rsidRDefault="000C317B" w:rsidP="006A081E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>poskytnutí nebo využití důvěrných informací poté, co přestanou mít důvěrný charakter, tj. stanou se oprávněně, tj. na základě předchozího písemného souhlasu zadavatele a nikoli porušením povinnosti na straně účastníka nebo třetí osoby veřejně dostupnými.</w:t>
      </w:r>
    </w:p>
    <w:p w:rsidR="006A081E" w:rsidRPr="001D6D7E" w:rsidRDefault="006A081E" w:rsidP="006A081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423E" w:rsidRPr="001D6D7E" w:rsidRDefault="000C317B" w:rsidP="006A08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Účastník se dále zavazuje, že poskytne-li důvěrné informace svým zaměstnancům nebo spolupracovníkům či subdodavatelům, pak pouze v nezbytném rozsahu, tedy výhradně za účelem přípravy nabídky do </w:t>
      </w:r>
      <w:r w:rsidR="00206CBE" w:rsidRPr="001D6D7E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 řízení nebo vzájemné spolupráce smluvních stran a zajistí, aby takové osoby dodržovaly plně ustanovení této dohody, jako kdyby samy byly stranou této dohody. </w:t>
      </w:r>
    </w:p>
    <w:p w:rsidR="002E00BB" w:rsidRPr="001D6D7E" w:rsidRDefault="002E00BB" w:rsidP="006A081E">
      <w:pPr>
        <w:pStyle w:val="Nadpis3"/>
        <w:spacing w:before="0" w:line="240" w:lineRule="auto"/>
        <w:rPr>
          <w:rFonts w:cs="Times New Roman"/>
          <w:szCs w:val="24"/>
          <w:bdr w:val="none" w:sz="0" w:space="0" w:color="auto" w:frame="1"/>
          <w:lang w:eastAsia="cs-CZ"/>
        </w:rPr>
      </w:pPr>
      <w:r w:rsidRPr="001D6D7E">
        <w:rPr>
          <w:rFonts w:cs="Times New Roman"/>
          <w:szCs w:val="24"/>
          <w:bdr w:val="none" w:sz="0" w:space="0" w:color="auto" w:frame="1"/>
          <w:lang w:eastAsia="cs-CZ"/>
        </w:rPr>
        <w:t>III.</w:t>
      </w: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C317B" w:rsidRPr="001D6D7E" w:rsidRDefault="000C317B" w:rsidP="006A081E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7E">
        <w:rPr>
          <w:rFonts w:ascii="Times New Roman" w:hAnsi="Times New Roman"/>
          <w:sz w:val="24"/>
          <w:szCs w:val="24"/>
        </w:rPr>
        <w:t xml:space="preserve">V případě, že účastník poruší jakoukoliv povinnost vyplývající mu z této dohody, je povinen uhradit zadavateli smluvní pokutu ve výši </w:t>
      </w:r>
      <w:r w:rsidR="0020071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D6D7E">
        <w:rPr>
          <w:rFonts w:ascii="Times New Roman" w:hAnsi="Times New Roman"/>
          <w:sz w:val="24"/>
          <w:szCs w:val="24"/>
        </w:rPr>
        <w:t>00.000,- Kč za každé takové jednotlivé porušení. Zaplacením smluvní pokuty není dotčen nárok zadavatele na náhradu škody.</w:t>
      </w:r>
    </w:p>
    <w:p w:rsidR="000C317B" w:rsidRPr="001D6D7E" w:rsidRDefault="000C317B" w:rsidP="006A081E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68D6" w:rsidRPr="001D6D7E" w:rsidRDefault="002E00BB" w:rsidP="006A081E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7E">
        <w:rPr>
          <w:rFonts w:ascii="Times New Roman" w:hAnsi="Times New Roman"/>
          <w:sz w:val="24"/>
          <w:szCs w:val="24"/>
        </w:rPr>
        <w:t xml:space="preserve">Smluvní pokutu, na kterou vznikne </w:t>
      </w:r>
      <w:r w:rsidR="000C317B" w:rsidRPr="001D6D7E">
        <w:rPr>
          <w:rFonts w:ascii="Times New Roman" w:hAnsi="Times New Roman"/>
          <w:sz w:val="24"/>
          <w:szCs w:val="24"/>
        </w:rPr>
        <w:t xml:space="preserve">zadavateli </w:t>
      </w:r>
      <w:r w:rsidRPr="001D6D7E">
        <w:rPr>
          <w:rFonts w:ascii="Times New Roman" w:hAnsi="Times New Roman"/>
          <w:sz w:val="24"/>
          <w:szCs w:val="24"/>
        </w:rPr>
        <w:t xml:space="preserve">nárok dle této smlouvy, je </w:t>
      </w:r>
      <w:r w:rsidR="000C317B" w:rsidRPr="001D6D7E">
        <w:rPr>
          <w:rFonts w:ascii="Times New Roman" w:hAnsi="Times New Roman"/>
          <w:sz w:val="24"/>
          <w:szCs w:val="24"/>
        </w:rPr>
        <w:t>účastník povinen</w:t>
      </w:r>
      <w:r w:rsidRPr="001D6D7E">
        <w:rPr>
          <w:rFonts w:ascii="Times New Roman" w:hAnsi="Times New Roman"/>
          <w:sz w:val="24"/>
          <w:szCs w:val="24"/>
        </w:rPr>
        <w:t xml:space="preserve"> uhradit do </w:t>
      </w:r>
      <w:r w:rsidR="0039423E" w:rsidRPr="001D6D7E">
        <w:rPr>
          <w:rFonts w:ascii="Times New Roman" w:hAnsi="Times New Roman"/>
          <w:sz w:val="24"/>
          <w:szCs w:val="24"/>
        </w:rPr>
        <w:t>30</w:t>
      </w:r>
      <w:r w:rsidRPr="001D6D7E">
        <w:rPr>
          <w:rFonts w:ascii="Times New Roman" w:hAnsi="Times New Roman"/>
          <w:sz w:val="24"/>
          <w:szCs w:val="24"/>
        </w:rPr>
        <w:t xml:space="preserve"> kalendářních dnů ode dne prokazatelného doručení výzvy k úhradě smluvní </w:t>
      </w:r>
      <w:r w:rsidRPr="001D6D7E">
        <w:rPr>
          <w:rFonts w:ascii="Times New Roman" w:hAnsi="Times New Roman"/>
          <w:sz w:val="24"/>
          <w:szCs w:val="24"/>
        </w:rPr>
        <w:lastRenderedPageBreak/>
        <w:t xml:space="preserve">pokuty. Má se za to, že řádným doručením je osobní předání, zaslání prostřednictvím kurýrní služby s poskytnutím potvrzení doručení nebo ověřenou elektronickou zprávou na adresu </w:t>
      </w:r>
      <w:r w:rsidR="00C368D6" w:rsidRPr="001D6D7E">
        <w:rPr>
          <w:rFonts w:ascii="Times New Roman" w:hAnsi="Times New Roman"/>
          <w:sz w:val="24"/>
          <w:szCs w:val="24"/>
        </w:rPr>
        <w:t>účastníka</w:t>
      </w:r>
      <w:r w:rsidRPr="001D6D7E">
        <w:rPr>
          <w:rFonts w:ascii="Times New Roman" w:hAnsi="Times New Roman"/>
          <w:sz w:val="24"/>
          <w:szCs w:val="24"/>
        </w:rPr>
        <w:t>.</w:t>
      </w:r>
    </w:p>
    <w:p w:rsidR="00C368D6" w:rsidRPr="001D6D7E" w:rsidRDefault="00C368D6" w:rsidP="006A081E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00BB" w:rsidRPr="001D6D7E" w:rsidRDefault="002E00BB" w:rsidP="006A081E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7E">
        <w:rPr>
          <w:rFonts w:ascii="Times New Roman" w:hAnsi="Times New Roman"/>
          <w:sz w:val="24"/>
          <w:szCs w:val="24"/>
        </w:rPr>
        <w:t xml:space="preserve">Doručování prostřednictvím držitele poštovní licence se rozumí, že zpráva je doručována poštovní zásilkou ve formě doporučeného dopisu na doručovací adresu </w:t>
      </w:r>
      <w:r w:rsidR="00C368D6" w:rsidRPr="001D6D7E">
        <w:rPr>
          <w:rFonts w:ascii="Times New Roman" w:hAnsi="Times New Roman"/>
          <w:sz w:val="24"/>
          <w:szCs w:val="24"/>
        </w:rPr>
        <w:t>účastníka</w:t>
      </w:r>
      <w:r w:rsidRPr="001D6D7E">
        <w:rPr>
          <w:rFonts w:ascii="Times New Roman" w:hAnsi="Times New Roman"/>
          <w:sz w:val="24"/>
          <w:szCs w:val="24"/>
        </w:rPr>
        <w:t>. Dnem doručení se rozumí den přijetí zásilky nebo také den odmítnutí přijetí zásilky. Dnem doručení se také rozumí třetí (3) den ode dne odevzdání zásilky k poštovní přepravě.</w:t>
      </w:r>
    </w:p>
    <w:p w:rsidR="0039423E" w:rsidRPr="001D6D7E" w:rsidRDefault="0039423E" w:rsidP="006A08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423E" w:rsidRPr="001D6D7E" w:rsidRDefault="002E00BB" w:rsidP="006A081E">
      <w:pPr>
        <w:pStyle w:val="Nadpis3"/>
        <w:spacing w:before="0" w:line="240" w:lineRule="auto"/>
        <w:rPr>
          <w:rFonts w:cs="Times New Roman"/>
          <w:szCs w:val="24"/>
          <w:bdr w:val="none" w:sz="0" w:space="0" w:color="auto" w:frame="1"/>
          <w:lang w:eastAsia="cs-CZ"/>
        </w:rPr>
      </w:pPr>
      <w:r w:rsidRPr="001D6D7E">
        <w:rPr>
          <w:rFonts w:cs="Times New Roman"/>
          <w:szCs w:val="24"/>
          <w:bdr w:val="none" w:sz="0" w:space="0" w:color="auto" w:frame="1"/>
          <w:lang w:eastAsia="cs-CZ"/>
        </w:rPr>
        <w:t>IV.</w:t>
      </w:r>
    </w:p>
    <w:p w:rsidR="00C368D6" w:rsidRPr="001D6D7E" w:rsidRDefault="00C368D6" w:rsidP="006A08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368D6" w:rsidRPr="001D6D7E" w:rsidRDefault="00C368D6" w:rsidP="006A081E">
      <w:pPr>
        <w:pStyle w:val="Bezmezer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>Tato dohoda nabývá platnosti a účinnosti dnem jejího podpisu oběma smluvními stranami.</w:t>
      </w:r>
    </w:p>
    <w:p w:rsidR="00C368D6" w:rsidRPr="001D6D7E" w:rsidRDefault="00C368D6" w:rsidP="006A08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368D6" w:rsidRPr="001D6D7E" w:rsidRDefault="00C368D6" w:rsidP="006A081E">
      <w:pPr>
        <w:pStyle w:val="Bezmezer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Smlouva se uzavírá na dobu neurčitou.</w:t>
      </w:r>
    </w:p>
    <w:p w:rsidR="00C368D6" w:rsidRPr="001D6D7E" w:rsidRDefault="00C368D6" w:rsidP="006A08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368D6" w:rsidRPr="001D6D7E" w:rsidRDefault="00C368D6" w:rsidP="006A081E">
      <w:pPr>
        <w:pStyle w:val="Bezmezer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Práva a povinnosti smluvních stran touto dohodou výslovně neupravená se přiměřeně řídí ustanoveními </w:t>
      </w:r>
      <w:r w:rsidRPr="001D6D7E">
        <w:rPr>
          <w:rFonts w:ascii="Times New Roman" w:hAnsi="Times New Roman" w:cs="Times New Roman"/>
          <w:sz w:val="24"/>
          <w:szCs w:val="24"/>
        </w:rPr>
        <w:t>občanského</w:t>
      </w:r>
      <w:r w:rsidRPr="001D6D7E">
        <w:rPr>
          <w:rFonts w:ascii="Times New Roman" w:eastAsia="Calibri" w:hAnsi="Times New Roman" w:cs="Times New Roman"/>
          <w:sz w:val="24"/>
          <w:szCs w:val="24"/>
        </w:rPr>
        <w:t xml:space="preserve"> zákoníku.</w:t>
      </w:r>
    </w:p>
    <w:p w:rsidR="00C368D6" w:rsidRPr="001D6D7E" w:rsidRDefault="00C368D6" w:rsidP="006A08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368D6" w:rsidRPr="001D6D7E" w:rsidRDefault="00C368D6" w:rsidP="006A081E">
      <w:pPr>
        <w:pStyle w:val="Bezmezer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>Jakákoliv změna této dohody je možná pouze se souhlasem obou smluvních stran, a to formou uzavření písemného, vzestupně číslovaného dodatku.</w:t>
      </w:r>
    </w:p>
    <w:p w:rsidR="00C368D6" w:rsidRPr="001D6D7E" w:rsidRDefault="00C368D6" w:rsidP="006A08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368D6" w:rsidRPr="001D6D7E" w:rsidRDefault="00C368D6" w:rsidP="006A081E">
      <w:pPr>
        <w:pStyle w:val="Bezmezer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eastAsia="Calibri" w:hAnsi="Times New Roman" w:cs="Times New Roman"/>
          <w:sz w:val="24"/>
          <w:szCs w:val="24"/>
        </w:rPr>
        <w:t>Tato dohoda je sepsána ve dvou vyhotoveních, z nichž každá ze smluvních stran obdrží po jednom.</w:t>
      </w:r>
    </w:p>
    <w:p w:rsidR="0039423E" w:rsidRPr="001D6D7E" w:rsidRDefault="0039423E" w:rsidP="006A081E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E00BB" w:rsidRPr="001D6D7E" w:rsidRDefault="002E00BB" w:rsidP="006A081E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E00BB" w:rsidRPr="001D6D7E" w:rsidRDefault="002E00BB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39423E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 Praze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dne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          </w:t>
      </w:r>
      <w:r w:rsidR="0039423E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9423E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9423E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39423E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39423E"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 Praze 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dne </w:t>
      </w:r>
    </w:p>
    <w:p w:rsidR="002E00BB" w:rsidRPr="001D6D7E" w:rsidRDefault="00285462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39423E" w:rsidRPr="001D6D7E" w:rsidRDefault="00C368D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Zadavatel: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  <w:t>Účastník:</w:t>
      </w:r>
    </w:p>
    <w:p w:rsidR="00C368D6" w:rsidRPr="001D6D7E" w:rsidRDefault="00C368D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368D6" w:rsidRPr="001D6D7E" w:rsidRDefault="00C368D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423E" w:rsidRPr="001D6D7E" w:rsidRDefault="0039423E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</w:t>
      </w:r>
      <w:r w:rsidR="00C368D6" w:rsidRPr="001D6D7E">
        <w:rPr>
          <w:rFonts w:ascii="Times New Roman" w:hAnsi="Times New Roman" w:cs="Times New Roman"/>
          <w:sz w:val="24"/>
          <w:szCs w:val="24"/>
          <w:lang w:eastAsia="cs-CZ"/>
        </w:rPr>
        <w:t>…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………………………………………</w:t>
      </w:r>
      <w:r w:rsidR="00C368D6" w:rsidRPr="001D6D7E">
        <w:rPr>
          <w:rFonts w:ascii="Times New Roman" w:hAnsi="Times New Roman" w:cs="Times New Roman"/>
          <w:sz w:val="24"/>
          <w:szCs w:val="24"/>
          <w:lang w:eastAsia="cs-CZ"/>
        </w:rPr>
        <w:t>…</w:t>
      </w:r>
    </w:p>
    <w:p w:rsidR="0039423E" w:rsidRPr="001D6D7E" w:rsidRDefault="00C368D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PhDr. Mgr. Ing. Kar</w:t>
      </w:r>
      <w:r w:rsidR="00FB587D">
        <w:rPr>
          <w:rFonts w:ascii="Times New Roman" w:hAnsi="Times New Roman" w:cs="Times New Roman"/>
          <w:sz w:val="24"/>
          <w:szCs w:val="24"/>
          <w:lang w:eastAsia="cs-CZ"/>
        </w:rPr>
        <w:t>el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 xml:space="preserve"> Mach, </w:t>
      </w:r>
      <w:proofErr w:type="spellStart"/>
      <w:r w:rsidRPr="001D6D7E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FB587D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Pr="001D6D7E">
        <w:rPr>
          <w:rFonts w:ascii="Times New Roman" w:hAnsi="Times New Roman" w:cs="Times New Roman"/>
          <w:sz w:val="24"/>
          <w:szCs w:val="24"/>
          <w:lang w:eastAsia="cs-CZ"/>
        </w:rPr>
        <w:t>c</w:t>
      </w:r>
      <w:proofErr w:type="spellEnd"/>
      <w:r w:rsidRPr="001D6D7E">
        <w:rPr>
          <w:rFonts w:ascii="Times New Roman" w:hAnsi="Times New Roman" w:cs="Times New Roman"/>
          <w:sz w:val="24"/>
          <w:szCs w:val="24"/>
          <w:lang w:eastAsia="cs-CZ"/>
        </w:rPr>
        <w:t>., MBA.</w:t>
      </w:r>
    </w:p>
    <w:p w:rsidR="0039423E" w:rsidRPr="001D6D7E" w:rsidRDefault="0039423E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423E" w:rsidRPr="001D6D7E" w:rsidRDefault="0039423E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423E" w:rsidRPr="001D6D7E" w:rsidRDefault="0039423E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368D6" w:rsidRPr="001D6D7E" w:rsidRDefault="0039423E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</w:t>
      </w:r>
      <w:r w:rsidR="00C368D6" w:rsidRPr="001D6D7E">
        <w:rPr>
          <w:rFonts w:ascii="Times New Roman" w:hAnsi="Times New Roman" w:cs="Times New Roman"/>
          <w:sz w:val="24"/>
          <w:szCs w:val="24"/>
          <w:lang w:eastAsia="cs-CZ"/>
        </w:rPr>
        <w:t>…</w:t>
      </w:r>
    </w:p>
    <w:p w:rsidR="002E00BB" w:rsidRPr="001D6D7E" w:rsidRDefault="00C368D6" w:rsidP="006A081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6D7E">
        <w:rPr>
          <w:rFonts w:ascii="Times New Roman" w:hAnsi="Times New Roman" w:cs="Times New Roman"/>
          <w:sz w:val="24"/>
          <w:szCs w:val="24"/>
          <w:lang w:eastAsia="cs-CZ"/>
        </w:rPr>
        <w:t>Ing. Roman Heimlich, Ph.D.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2E00BB" w:rsidRPr="001D6D7E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sectPr w:rsidR="002E00BB" w:rsidRPr="001D6D7E" w:rsidSect="00283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64" w:rsidRDefault="00F17E64" w:rsidP="00822441">
      <w:pPr>
        <w:spacing w:after="0" w:line="240" w:lineRule="auto"/>
      </w:pPr>
      <w:r>
        <w:separator/>
      </w:r>
    </w:p>
  </w:endnote>
  <w:endnote w:type="continuationSeparator" w:id="0">
    <w:p w:rsidR="00F17E64" w:rsidRDefault="00F17E64" w:rsidP="0082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0047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39423E" w:rsidRDefault="0039423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6D7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6D7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423E" w:rsidRDefault="003942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64" w:rsidRDefault="00F17E64" w:rsidP="00822441">
      <w:pPr>
        <w:spacing w:after="0" w:line="240" w:lineRule="auto"/>
      </w:pPr>
      <w:r>
        <w:separator/>
      </w:r>
    </w:p>
  </w:footnote>
  <w:footnote w:type="continuationSeparator" w:id="0">
    <w:p w:rsidR="00F17E64" w:rsidRDefault="00F17E64" w:rsidP="0082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341"/>
    <w:multiLevelType w:val="multilevel"/>
    <w:tmpl w:val="9506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0260"/>
    <w:multiLevelType w:val="multilevel"/>
    <w:tmpl w:val="78B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D4FE8"/>
    <w:multiLevelType w:val="multilevel"/>
    <w:tmpl w:val="657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30DA"/>
    <w:multiLevelType w:val="multilevel"/>
    <w:tmpl w:val="C058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13D91"/>
    <w:multiLevelType w:val="multilevel"/>
    <w:tmpl w:val="38A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17855"/>
    <w:multiLevelType w:val="multilevel"/>
    <w:tmpl w:val="6CD2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E4CC1"/>
    <w:multiLevelType w:val="multilevel"/>
    <w:tmpl w:val="863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A2B17"/>
    <w:multiLevelType w:val="hybridMultilevel"/>
    <w:tmpl w:val="48E632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46B17"/>
    <w:multiLevelType w:val="multilevel"/>
    <w:tmpl w:val="5AD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A74E8"/>
    <w:multiLevelType w:val="multilevel"/>
    <w:tmpl w:val="5D6C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B2F1F"/>
    <w:multiLevelType w:val="hybridMultilevel"/>
    <w:tmpl w:val="F7F2B8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BB2733"/>
    <w:multiLevelType w:val="multilevel"/>
    <w:tmpl w:val="233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71505"/>
    <w:multiLevelType w:val="multilevel"/>
    <w:tmpl w:val="40F8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8741F"/>
    <w:multiLevelType w:val="multilevel"/>
    <w:tmpl w:val="3120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6476D"/>
    <w:multiLevelType w:val="hybridMultilevel"/>
    <w:tmpl w:val="48E632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D6298"/>
    <w:multiLevelType w:val="multilevel"/>
    <w:tmpl w:val="3D6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1387C"/>
    <w:multiLevelType w:val="multilevel"/>
    <w:tmpl w:val="4084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8657B"/>
    <w:multiLevelType w:val="multilevel"/>
    <w:tmpl w:val="FE2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347B5"/>
    <w:multiLevelType w:val="multilevel"/>
    <w:tmpl w:val="52BC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A46BA"/>
    <w:multiLevelType w:val="hybridMultilevel"/>
    <w:tmpl w:val="0F1863DA"/>
    <w:lvl w:ilvl="0" w:tplc="A962C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13131"/>
    <w:multiLevelType w:val="multilevel"/>
    <w:tmpl w:val="E42C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14973"/>
    <w:multiLevelType w:val="multilevel"/>
    <w:tmpl w:val="1A24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32D4E"/>
    <w:multiLevelType w:val="hybridMultilevel"/>
    <w:tmpl w:val="CBCAB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203D3"/>
    <w:multiLevelType w:val="multilevel"/>
    <w:tmpl w:val="B34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324C8C"/>
    <w:multiLevelType w:val="hybridMultilevel"/>
    <w:tmpl w:val="0F1863DA"/>
    <w:lvl w:ilvl="0" w:tplc="A962C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05FE8"/>
    <w:multiLevelType w:val="multilevel"/>
    <w:tmpl w:val="3DE4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64B8A"/>
    <w:multiLevelType w:val="hybridMultilevel"/>
    <w:tmpl w:val="E3F84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43287"/>
    <w:multiLevelType w:val="hybridMultilevel"/>
    <w:tmpl w:val="576C44C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6CBB2208"/>
    <w:multiLevelType w:val="multilevel"/>
    <w:tmpl w:val="9B2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235743"/>
    <w:multiLevelType w:val="multilevel"/>
    <w:tmpl w:val="FF02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C3F20"/>
    <w:multiLevelType w:val="hybridMultilevel"/>
    <w:tmpl w:val="FE02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1E58"/>
    <w:multiLevelType w:val="hybridMultilevel"/>
    <w:tmpl w:val="BC7A4D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0AE1A47"/>
    <w:multiLevelType w:val="hybridMultilevel"/>
    <w:tmpl w:val="0F1863DA"/>
    <w:lvl w:ilvl="0" w:tplc="A962C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5141A"/>
    <w:multiLevelType w:val="multilevel"/>
    <w:tmpl w:val="A810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26618"/>
    <w:multiLevelType w:val="multilevel"/>
    <w:tmpl w:val="EC38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CD63CC"/>
    <w:multiLevelType w:val="multilevel"/>
    <w:tmpl w:val="9D9E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187CE2"/>
    <w:multiLevelType w:val="multilevel"/>
    <w:tmpl w:val="813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23"/>
  </w:num>
  <w:num w:numId="12">
    <w:abstractNumId w:val="18"/>
  </w:num>
  <w:num w:numId="13">
    <w:abstractNumId w:val="36"/>
  </w:num>
  <w:num w:numId="14">
    <w:abstractNumId w:val="35"/>
  </w:num>
  <w:num w:numId="15">
    <w:abstractNumId w:val="33"/>
  </w:num>
  <w:num w:numId="16">
    <w:abstractNumId w:val="25"/>
  </w:num>
  <w:num w:numId="17">
    <w:abstractNumId w:val="3"/>
  </w:num>
  <w:num w:numId="18">
    <w:abstractNumId w:val="9"/>
  </w:num>
  <w:num w:numId="19">
    <w:abstractNumId w:val="12"/>
  </w:num>
  <w:num w:numId="20">
    <w:abstractNumId w:val="34"/>
  </w:num>
  <w:num w:numId="21">
    <w:abstractNumId w:val="1"/>
  </w:num>
  <w:num w:numId="22">
    <w:abstractNumId w:val="13"/>
  </w:num>
  <w:num w:numId="23">
    <w:abstractNumId w:val="20"/>
  </w:num>
  <w:num w:numId="24">
    <w:abstractNumId w:val="29"/>
  </w:num>
  <w:num w:numId="25">
    <w:abstractNumId w:val="21"/>
  </w:num>
  <w:num w:numId="26">
    <w:abstractNumId w:val="30"/>
  </w:num>
  <w:num w:numId="27">
    <w:abstractNumId w:val="14"/>
  </w:num>
  <w:num w:numId="28">
    <w:abstractNumId w:val="22"/>
  </w:num>
  <w:num w:numId="29">
    <w:abstractNumId w:val="26"/>
  </w:num>
  <w:num w:numId="30">
    <w:abstractNumId w:val="16"/>
  </w:num>
  <w:num w:numId="31">
    <w:abstractNumId w:val="27"/>
  </w:num>
  <w:num w:numId="32">
    <w:abstractNumId w:val="31"/>
  </w:num>
  <w:num w:numId="33">
    <w:abstractNumId w:val="32"/>
  </w:num>
  <w:num w:numId="34">
    <w:abstractNumId w:val="19"/>
  </w:num>
  <w:num w:numId="35">
    <w:abstractNumId w:val="10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AA"/>
    <w:rsid w:val="0000484D"/>
    <w:rsid w:val="000B4FB7"/>
    <w:rsid w:val="000C317B"/>
    <w:rsid w:val="00133238"/>
    <w:rsid w:val="00145D10"/>
    <w:rsid w:val="001D6D7E"/>
    <w:rsid w:val="001F7796"/>
    <w:rsid w:val="0020071C"/>
    <w:rsid w:val="00206CBE"/>
    <w:rsid w:val="00233F41"/>
    <w:rsid w:val="0028351C"/>
    <w:rsid w:val="00285462"/>
    <w:rsid w:val="002D5CAA"/>
    <w:rsid w:val="002E00BB"/>
    <w:rsid w:val="002F6204"/>
    <w:rsid w:val="003156C4"/>
    <w:rsid w:val="003552AA"/>
    <w:rsid w:val="003674DC"/>
    <w:rsid w:val="0039423E"/>
    <w:rsid w:val="003A1AD3"/>
    <w:rsid w:val="003C75F3"/>
    <w:rsid w:val="004606E6"/>
    <w:rsid w:val="00537251"/>
    <w:rsid w:val="005E79DF"/>
    <w:rsid w:val="006A081E"/>
    <w:rsid w:val="006A621F"/>
    <w:rsid w:val="006F68E5"/>
    <w:rsid w:val="007B7503"/>
    <w:rsid w:val="00822441"/>
    <w:rsid w:val="008259E2"/>
    <w:rsid w:val="00852B13"/>
    <w:rsid w:val="00881C29"/>
    <w:rsid w:val="008C739A"/>
    <w:rsid w:val="008D2B39"/>
    <w:rsid w:val="008F646A"/>
    <w:rsid w:val="00912BB4"/>
    <w:rsid w:val="009241C9"/>
    <w:rsid w:val="00986973"/>
    <w:rsid w:val="00994C2F"/>
    <w:rsid w:val="00A24F2D"/>
    <w:rsid w:val="00B07747"/>
    <w:rsid w:val="00B67A03"/>
    <w:rsid w:val="00BB2B37"/>
    <w:rsid w:val="00C368D6"/>
    <w:rsid w:val="00C46682"/>
    <w:rsid w:val="00CA44EC"/>
    <w:rsid w:val="00D14096"/>
    <w:rsid w:val="00D3298D"/>
    <w:rsid w:val="00D36CDB"/>
    <w:rsid w:val="00DE5663"/>
    <w:rsid w:val="00E67F04"/>
    <w:rsid w:val="00EF70B7"/>
    <w:rsid w:val="00F17E64"/>
    <w:rsid w:val="00F64CB4"/>
    <w:rsid w:val="00F65923"/>
    <w:rsid w:val="00FB587D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F6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351C"/>
  </w:style>
  <w:style w:type="paragraph" w:styleId="Nadpis1">
    <w:name w:val="heading 1"/>
    <w:basedOn w:val="Normln"/>
    <w:next w:val="Normln"/>
    <w:link w:val="Nadpis1Char"/>
    <w:uiPriority w:val="9"/>
    <w:qFormat/>
    <w:rsid w:val="002E00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00B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00BB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C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00B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E00B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ezmezer">
    <w:name w:val="No Spacing"/>
    <w:uiPriority w:val="1"/>
    <w:qFormat/>
    <w:rsid w:val="002E00BB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E00BB"/>
    <w:rPr>
      <w:rFonts w:ascii="Times New Roman" w:eastAsiaTheme="majorEastAsia" w:hAnsi="Times New Roman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2E00BB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2441"/>
  </w:style>
  <w:style w:type="paragraph" w:styleId="Zpat">
    <w:name w:val="footer"/>
    <w:basedOn w:val="Normln"/>
    <w:link w:val="ZpatChar"/>
    <w:uiPriority w:val="99"/>
    <w:unhideWhenUsed/>
    <w:rsid w:val="0082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441"/>
  </w:style>
  <w:style w:type="paragraph" w:styleId="Normlnweb">
    <w:name w:val="Normal (Web)"/>
    <w:basedOn w:val="Normln"/>
    <w:uiPriority w:val="99"/>
    <w:semiHidden/>
    <w:unhideWhenUsed/>
    <w:rsid w:val="0028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85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2020-08-20T12:00:00Z</dcterms:created>
  <dcterms:modified xsi:type="dcterms:W3CDTF">2020-08-27T08:56:00Z</dcterms:modified>
</cp:coreProperties>
</file>